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F4A40F" w14:textId="77777777" w:rsidR="0050080B" w:rsidRDefault="0050080B" w:rsidP="009A62D2">
      <w:pPr>
        <w:pStyle w:val="Heading2"/>
        <w:numPr>
          <w:ilvl w:val="0"/>
          <w:numId w:val="0"/>
        </w:numPr>
      </w:pPr>
      <w:r>
        <w:t xml:space="preserve">Effect of Time Scale of Streamflow Time Series </w:t>
      </w:r>
    </w:p>
    <w:p w14:paraId="7546C26A" w14:textId="6CB29A76" w:rsidR="009A62D2" w:rsidRDefault="007A7062" w:rsidP="007A7062">
      <w:pPr>
        <w:ind w:firstLine="0"/>
        <w:jc w:val="center"/>
      </w:pPr>
      <w:r w:rsidRPr="007A7062">
        <w:rPr>
          <w:noProof/>
        </w:rPr>
        <w:drawing>
          <wp:inline distT="0" distB="0" distL="0" distR="0" wp14:anchorId="1ADC91F0" wp14:editId="5458086A">
            <wp:extent cx="4494655" cy="6238875"/>
            <wp:effectExtent l="0" t="0" r="127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27575" cy="6284570"/>
                    </a:xfrm>
                    <a:prstGeom prst="rect">
                      <a:avLst/>
                    </a:prstGeom>
                  </pic:spPr>
                </pic:pic>
              </a:graphicData>
            </a:graphic>
          </wp:inline>
        </w:drawing>
      </w:r>
    </w:p>
    <w:p w14:paraId="369D5D16" w14:textId="5DFE8786" w:rsidR="009A62D2" w:rsidRDefault="009A62D2" w:rsidP="009A62D2">
      <w:pPr>
        <w:spacing w:line="360" w:lineRule="auto"/>
        <w:ind w:firstLine="0"/>
        <w:rPr>
          <w:rFonts w:eastAsiaTheme="minorEastAsia" w:cs="Times New Roman"/>
        </w:rPr>
      </w:pPr>
      <w:r>
        <w:t xml:space="preserve">Figure A1: Violin plots of </w:t>
      </w:r>
      <w:r w:rsidRPr="005C7B3A">
        <w:rPr>
          <w:rFonts w:cs="Times New Roman"/>
          <w:i/>
        </w:rPr>
        <w:t>λ</w:t>
      </w:r>
      <w:r>
        <w:rPr>
          <w:rFonts w:cs="Times New Roman"/>
        </w:rPr>
        <w:t xml:space="preserve"> and </w:t>
      </w:r>
      <w:r w:rsidRPr="005C7B3A">
        <w:rPr>
          <w:rFonts w:cs="Times New Roman"/>
          <w:i/>
        </w:rPr>
        <w:t>GC</w:t>
      </w:r>
      <w:r>
        <w:rPr>
          <w:rFonts w:cs="Times New Roman"/>
        </w:rPr>
        <w:t xml:space="preserve"> across </w:t>
      </w:r>
      <w:r w:rsidR="005A2962">
        <w:rPr>
          <w:rFonts w:cs="Times New Roman"/>
        </w:rPr>
        <w:t xml:space="preserve">five </w:t>
      </w:r>
      <w:r>
        <w:rPr>
          <w:rFonts w:cs="Times New Roman"/>
        </w:rPr>
        <w:t>time</w:t>
      </w:r>
      <w:r w:rsidR="005A2962">
        <w:rPr>
          <w:rFonts w:cs="Times New Roman"/>
        </w:rPr>
        <w:t>-</w:t>
      </w:r>
      <w:r>
        <w:rPr>
          <w:rFonts w:cs="Times New Roman"/>
        </w:rPr>
        <w:t>scales of streamflow time series in (a) and (b), respectively using resampling approach.  The solid white dot inside each violin represents median while the thicker solid line inside represents interquartile range (75</w:t>
      </w:r>
      <w:r w:rsidRPr="00512353">
        <w:rPr>
          <w:rFonts w:cs="Times New Roman"/>
          <w:vertAlign w:val="superscript"/>
        </w:rPr>
        <w:t>th</w:t>
      </w:r>
      <w:r>
        <w:rPr>
          <w:rFonts w:cs="Times New Roman"/>
        </w:rPr>
        <w:t xml:space="preserve"> percentile – 25</w:t>
      </w:r>
      <w:r w:rsidRPr="00512353">
        <w:rPr>
          <w:rFonts w:cs="Times New Roman"/>
          <w:vertAlign w:val="superscript"/>
        </w:rPr>
        <w:t>th</w:t>
      </w:r>
      <w:r>
        <w:rPr>
          <w:rFonts w:cs="Times New Roman"/>
        </w:rPr>
        <w:t xml:space="preserve"> percentile).  Clearly, </w:t>
      </w:r>
      <w:r w:rsidR="007A7062">
        <w:rPr>
          <w:rFonts w:cs="Times New Roman"/>
        </w:rPr>
        <w:t xml:space="preserve">a systematic transition toward stochastic behavior is demonstrated by increasing values of </w:t>
      </w:r>
      <w:r w:rsidRPr="001F01DF">
        <w:rPr>
          <w:i/>
        </w:rPr>
        <w:t>λ</w:t>
      </w:r>
      <w:r>
        <w:rPr>
          <w:rFonts w:eastAsiaTheme="minorEastAsia" w:cs="Times New Roman"/>
        </w:rPr>
        <w:t xml:space="preserve"> and </w:t>
      </w:r>
      <w:r w:rsidRPr="00896799">
        <w:rPr>
          <w:rFonts w:eastAsiaTheme="minorEastAsia" w:cs="Times New Roman"/>
          <w:i/>
        </w:rPr>
        <w:t>GC</w:t>
      </w:r>
      <w:r w:rsidR="007A7062">
        <w:rPr>
          <w:rFonts w:eastAsiaTheme="minorEastAsia" w:cs="Times New Roman"/>
          <w:i/>
        </w:rPr>
        <w:t xml:space="preserve"> </w:t>
      </w:r>
      <w:r w:rsidR="007A7062" w:rsidRPr="007A7062">
        <w:rPr>
          <w:rFonts w:eastAsiaTheme="minorEastAsia" w:cs="Times New Roman"/>
          <w:iCs/>
        </w:rPr>
        <w:t>as time</w:t>
      </w:r>
      <w:r w:rsidR="002B6041">
        <w:rPr>
          <w:rFonts w:eastAsiaTheme="minorEastAsia" w:cs="Times New Roman"/>
          <w:iCs/>
        </w:rPr>
        <w:t xml:space="preserve"> </w:t>
      </w:r>
      <w:r w:rsidR="007A7062" w:rsidRPr="007A7062">
        <w:rPr>
          <w:rFonts w:eastAsiaTheme="minorEastAsia" w:cs="Times New Roman"/>
          <w:iCs/>
        </w:rPr>
        <w:t>scale increases from 1-hour to a day.</w:t>
      </w:r>
      <w:r>
        <w:rPr>
          <w:rFonts w:eastAsiaTheme="minorEastAsia" w:cs="Times New Roman"/>
        </w:rPr>
        <w:t xml:space="preserve"> </w:t>
      </w:r>
    </w:p>
    <w:p w14:paraId="4E08E324" w14:textId="77777777" w:rsidR="009A62D2" w:rsidRPr="009A62D2" w:rsidRDefault="009A62D2" w:rsidP="009A62D2">
      <w:pPr>
        <w:jc w:val="center"/>
      </w:pPr>
    </w:p>
    <w:p w14:paraId="45FEC73A" w14:textId="3714B51B" w:rsidR="00B735DB" w:rsidRDefault="007D0D47" w:rsidP="00B735DB">
      <w:pPr>
        <w:ind w:firstLine="0"/>
        <w:jc w:val="center"/>
      </w:pPr>
      <w:r w:rsidRPr="007D0D47">
        <w:rPr>
          <w:noProof/>
        </w:rPr>
        <w:drawing>
          <wp:inline distT="0" distB="0" distL="0" distR="0" wp14:anchorId="3074AC7E" wp14:editId="66CB5F7C">
            <wp:extent cx="3507786" cy="629602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6" cstate="print">
                      <a:extLst>
                        <a:ext uri="{28A0092B-C50C-407E-A947-70E740481C1C}">
                          <a14:useLocalDpi xmlns:a14="http://schemas.microsoft.com/office/drawing/2010/main" val="0"/>
                        </a:ext>
                      </a:extLst>
                    </a:blip>
                    <a:srcRect l="2905" t="1111" r="2663" b="1664"/>
                    <a:stretch/>
                  </pic:blipFill>
                  <pic:spPr bwMode="auto">
                    <a:xfrm>
                      <a:off x="0" y="0"/>
                      <a:ext cx="3516986" cy="6312538"/>
                    </a:xfrm>
                    <a:prstGeom prst="rect">
                      <a:avLst/>
                    </a:prstGeom>
                    <a:ln>
                      <a:noFill/>
                    </a:ln>
                    <a:extLst>
                      <a:ext uri="{53640926-AAD7-44D8-BBD7-CCE9431645EC}">
                        <a14:shadowObscured xmlns:a14="http://schemas.microsoft.com/office/drawing/2010/main"/>
                      </a:ext>
                    </a:extLst>
                  </pic:spPr>
                </pic:pic>
              </a:graphicData>
            </a:graphic>
          </wp:inline>
        </w:drawing>
      </w:r>
    </w:p>
    <w:p w14:paraId="5A2DCC2B" w14:textId="71239F6D" w:rsidR="00B735DB" w:rsidRDefault="0058296E" w:rsidP="009A62D2">
      <w:pPr>
        <w:spacing w:line="360" w:lineRule="auto"/>
        <w:ind w:firstLine="0"/>
        <w:rPr>
          <w:rFonts w:eastAsiaTheme="minorEastAsia" w:cs="Times New Roman"/>
        </w:rPr>
      </w:pPr>
      <w:r>
        <w:t xml:space="preserve">Figure A2: </w:t>
      </w:r>
      <w:r w:rsidR="007D0D47">
        <w:t xml:space="preserve">Spatial dependence </w:t>
      </w:r>
      <w:r w:rsidR="0077692C">
        <w:t xml:space="preserve">of </w:t>
      </w:r>
      <w:r w:rsidRPr="005C7B3A">
        <w:rPr>
          <w:rFonts w:cs="Times New Roman"/>
          <w:i/>
        </w:rPr>
        <w:t>λ</w:t>
      </w:r>
      <w:r>
        <w:rPr>
          <w:rFonts w:cs="Times New Roman"/>
        </w:rPr>
        <w:t xml:space="preserve"> a</w:t>
      </w:r>
      <w:r w:rsidR="007D0D47">
        <w:rPr>
          <w:rFonts w:cs="Times New Roman"/>
        </w:rPr>
        <w:t xml:space="preserve">cross five </w:t>
      </w:r>
      <w:r w:rsidR="00821294">
        <w:rPr>
          <w:rFonts w:cs="Times New Roman"/>
        </w:rPr>
        <w:t>timescales</w:t>
      </w:r>
      <w:r w:rsidR="00AB3600">
        <w:rPr>
          <w:rFonts w:cs="Times New Roman"/>
        </w:rPr>
        <w:t xml:space="preserve"> obtained from Figure A1</w:t>
      </w:r>
      <w:r w:rsidR="007D0D47">
        <w:rPr>
          <w:rFonts w:cs="Times New Roman"/>
        </w:rPr>
        <w:t xml:space="preserve">. (a) 1-hour, </w:t>
      </w:r>
      <w:r w:rsidR="00AB3600">
        <w:rPr>
          <w:rFonts w:cs="Times New Roman"/>
        </w:rPr>
        <w:t>(b) 3-hour, (c) 6-hour, (d) 12-</w:t>
      </w:r>
      <w:r w:rsidR="00821294">
        <w:rPr>
          <w:rFonts w:cs="Times New Roman"/>
        </w:rPr>
        <w:t>hour,</w:t>
      </w:r>
      <w:r w:rsidR="00AB3600">
        <w:rPr>
          <w:rFonts w:cs="Times New Roman"/>
        </w:rPr>
        <w:t xml:space="preserve"> and (e) 24-hour. The resampling approach demonstrates that with the increasing time and basin </w:t>
      </w:r>
      <w:r w:rsidR="00821294">
        <w:rPr>
          <w:rFonts w:cs="Times New Roman"/>
        </w:rPr>
        <w:t>size, λ</w:t>
      </w:r>
      <w:r w:rsidR="00AB3600">
        <w:rPr>
          <w:rFonts w:cs="Times New Roman"/>
        </w:rPr>
        <w:t xml:space="preserve"> shows systematic increase, and hence the transition toward more stochastic streamflow fluctuations. </w:t>
      </w:r>
    </w:p>
    <w:p w14:paraId="20D3C008" w14:textId="1DCABE17" w:rsidR="00CD4F64" w:rsidRDefault="00821294" w:rsidP="00CD4F64">
      <w:pPr>
        <w:ind w:firstLine="0"/>
        <w:jc w:val="center"/>
      </w:pPr>
      <w:r w:rsidRPr="00821294">
        <w:rPr>
          <w:noProof/>
        </w:rPr>
        <w:lastRenderedPageBreak/>
        <w:drawing>
          <wp:inline distT="0" distB="0" distL="0" distR="0" wp14:anchorId="05EB27DD" wp14:editId="1DB8874E">
            <wp:extent cx="3629025" cy="6483943"/>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7" cstate="print">
                      <a:extLst>
                        <a:ext uri="{28A0092B-C50C-407E-A947-70E740481C1C}">
                          <a14:useLocalDpi xmlns:a14="http://schemas.microsoft.com/office/drawing/2010/main" val="0"/>
                        </a:ext>
                      </a:extLst>
                    </a:blip>
                    <a:srcRect l="2744" t="1388" r="2657" b="1658"/>
                    <a:stretch/>
                  </pic:blipFill>
                  <pic:spPr bwMode="auto">
                    <a:xfrm>
                      <a:off x="0" y="0"/>
                      <a:ext cx="3637521" cy="6499123"/>
                    </a:xfrm>
                    <a:prstGeom prst="rect">
                      <a:avLst/>
                    </a:prstGeom>
                    <a:ln>
                      <a:noFill/>
                    </a:ln>
                    <a:extLst>
                      <a:ext uri="{53640926-AAD7-44D8-BBD7-CCE9431645EC}">
                        <a14:shadowObscured xmlns:a14="http://schemas.microsoft.com/office/drawing/2010/main"/>
                      </a:ext>
                    </a:extLst>
                  </pic:spPr>
                </pic:pic>
              </a:graphicData>
            </a:graphic>
          </wp:inline>
        </w:drawing>
      </w:r>
    </w:p>
    <w:p w14:paraId="767AB6CA" w14:textId="6A722EE7" w:rsidR="009A62D2" w:rsidRDefault="009A62D2" w:rsidP="009A62D2">
      <w:pPr>
        <w:spacing w:line="360" w:lineRule="auto"/>
        <w:ind w:firstLine="0"/>
        <w:rPr>
          <w:rFonts w:cs="Times New Roman"/>
        </w:rPr>
      </w:pPr>
      <w:r>
        <w:t>Figure A</w:t>
      </w:r>
      <w:r w:rsidR="00866E0C">
        <w:t>3</w:t>
      </w:r>
      <w:r>
        <w:t xml:space="preserve">: </w:t>
      </w:r>
      <w:r w:rsidR="00821294">
        <w:t xml:space="preserve">Spatial dependence </w:t>
      </w:r>
      <w:r w:rsidR="0077692C">
        <w:t xml:space="preserve">of </w:t>
      </w:r>
      <w:r w:rsidR="00821294" w:rsidRPr="005C7B3A">
        <w:rPr>
          <w:rFonts w:cs="Times New Roman"/>
          <w:i/>
        </w:rPr>
        <w:t>λ</w:t>
      </w:r>
      <w:r w:rsidR="00821294">
        <w:rPr>
          <w:rFonts w:cs="Times New Roman"/>
        </w:rPr>
        <w:t xml:space="preserve"> across five timescales obtained from </w:t>
      </w:r>
      <w:r w:rsidR="0077692C">
        <w:rPr>
          <w:rFonts w:cs="Times New Roman"/>
        </w:rPr>
        <w:t xml:space="preserve">averaging </w:t>
      </w:r>
      <w:r w:rsidR="00AF166E">
        <w:rPr>
          <w:rFonts w:cs="Times New Roman"/>
        </w:rPr>
        <w:t xml:space="preserve">of </w:t>
      </w:r>
      <w:r w:rsidR="00B07CB3">
        <w:rPr>
          <w:rFonts w:cs="Times New Roman"/>
        </w:rPr>
        <w:t xml:space="preserve">15-minutes </w:t>
      </w:r>
      <w:r w:rsidR="00AF166E">
        <w:rPr>
          <w:rFonts w:cs="Times New Roman"/>
        </w:rPr>
        <w:t xml:space="preserve">raw streamflow data. </w:t>
      </w:r>
      <w:r w:rsidR="00821294">
        <w:rPr>
          <w:rFonts w:cs="Times New Roman"/>
        </w:rPr>
        <w:t xml:space="preserve">(a) 1-hour, (b) 3-hour, (c) 6-hour, (d) 12-hour, and (e) 24-hour. The </w:t>
      </w:r>
      <w:r w:rsidR="00AF166E">
        <w:rPr>
          <w:rFonts w:cs="Times New Roman"/>
        </w:rPr>
        <w:t>averaging of raw streamflow data across timescales</w:t>
      </w:r>
      <w:r w:rsidR="00821294">
        <w:rPr>
          <w:rFonts w:cs="Times New Roman"/>
        </w:rPr>
        <w:t xml:space="preserve"> demonstrates that with the </w:t>
      </w:r>
      <w:r w:rsidR="00D94460">
        <w:rPr>
          <w:rFonts w:cs="Times New Roman"/>
        </w:rPr>
        <w:t>increasing time scales</w:t>
      </w:r>
      <w:r w:rsidR="00821294">
        <w:rPr>
          <w:rFonts w:cs="Times New Roman"/>
        </w:rPr>
        <w:t xml:space="preserve">, </w:t>
      </w:r>
      <w:r w:rsidR="00D94460">
        <w:rPr>
          <w:rFonts w:cs="Times New Roman"/>
        </w:rPr>
        <w:t xml:space="preserve">the relationship of </w:t>
      </w:r>
      <w:r w:rsidR="00821294">
        <w:rPr>
          <w:rFonts w:cs="Times New Roman"/>
        </w:rPr>
        <w:t xml:space="preserve">λ </w:t>
      </w:r>
      <w:r w:rsidR="00D94460" w:rsidRPr="00A92D98">
        <w:rPr>
          <w:rFonts w:cs="Times New Roman"/>
          <w:iCs/>
        </w:rPr>
        <w:t xml:space="preserve">with basin size does not show </w:t>
      </w:r>
      <w:r w:rsidR="00A92D98" w:rsidRPr="00A92D98">
        <w:rPr>
          <w:rFonts w:cs="Times New Roman"/>
          <w:iCs/>
        </w:rPr>
        <w:t>much variability. Clearly, the prominent change is in the smaller basin size, where streamflow process shows transitions from chaotic to stochastic behavior with increasing timescales.</w:t>
      </w:r>
      <w:r w:rsidR="00A92D98">
        <w:rPr>
          <w:rFonts w:cs="Times New Roman"/>
          <w:i/>
        </w:rPr>
        <w:t xml:space="preserve"> </w:t>
      </w:r>
    </w:p>
    <w:p w14:paraId="3B34F556" w14:textId="79B4C0B3" w:rsidR="00821294" w:rsidRDefault="00821294" w:rsidP="009A62D2">
      <w:pPr>
        <w:spacing w:line="360" w:lineRule="auto"/>
        <w:ind w:firstLine="0"/>
        <w:rPr>
          <w:rFonts w:eastAsiaTheme="minorEastAsia" w:cs="Times New Roman"/>
        </w:rPr>
      </w:pPr>
    </w:p>
    <w:tbl>
      <w:tblPr>
        <w:tblStyle w:val="GridTable1Light"/>
        <w:tblW w:w="10722" w:type="dxa"/>
        <w:tblInd w:w="-545" w:type="dxa"/>
        <w:tblLook w:val="04A0" w:firstRow="1" w:lastRow="0" w:firstColumn="1" w:lastColumn="0" w:noHBand="0" w:noVBand="1"/>
      </w:tblPr>
      <w:tblGrid>
        <w:gridCol w:w="5346"/>
        <w:gridCol w:w="5376"/>
      </w:tblGrid>
      <w:tr w:rsidR="00C931AA" w14:paraId="05A087CB" w14:textId="77777777" w:rsidTr="00850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6" w:type="dxa"/>
          </w:tcPr>
          <w:p w14:paraId="5CC352F3" w14:textId="77777777" w:rsidR="00C931AA" w:rsidRPr="00C931AA" w:rsidRDefault="00C931AA" w:rsidP="00C931AA">
            <w:pPr>
              <w:spacing w:before="0" w:after="0" w:line="240" w:lineRule="auto"/>
              <w:ind w:firstLine="0"/>
              <w:jc w:val="center"/>
              <w:rPr>
                <w:rFonts w:eastAsiaTheme="minorEastAsia" w:cs="Times New Roman"/>
                <w:b w:val="0"/>
                <w:noProof/>
              </w:rPr>
            </w:pPr>
            <w:r w:rsidRPr="00C931AA">
              <w:rPr>
                <w:rFonts w:eastAsiaTheme="minorEastAsia" w:cs="Times New Roman"/>
                <w:noProof/>
              </w:rPr>
              <w:t>Area ~ 500 km</w:t>
            </w:r>
            <w:r w:rsidRPr="00C931AA">
              <w:rPr>
                <w:rFonts w:eastAsiaTheme="minorEastAsia" w:cs="Times New Roman"/>
                <w:noProof/>
                <w:vertAlign w:val="superscript"/>
              </w:rPr>
              <w:t>2</w:t>
            </w:r>
          </w:p>
        </w:tc>
        <w:tc>
          <w:tcPr>
            <w:tcW w:w="5376" w:type="dxa"/>
          </w:tcPr>
          <w:p w14:paraId="4C521FF3" w14:textId="039BF00B" w:rsidR="00C931AA" w:rsidRPr="00C931AA" w:rsidRDefault="00C931AA" w:rsidP="00A80ED1">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b w:val="0"/>
                <w:noProof/>
              </w:rPr>
            </w:pPr>
            <w:r w:rsidRPr="00C931AA">
              <w:rPr>
                <w:rFonts w:eastAsiaTheme="minorEastAsia" w:cs="Times New Roman"/>
                <w:noProof/>
              </w:rPr>
              <w:t>Area ~ 1</w:t>
            </w:r>
            <w:r w:rsidR="00A80ED1">
              <w:rPr>
                <w:rFonts w:eastAsiaTheme="minorEastAsia" w:cs="Times New Roman"/>
                <w:noProof/>
              </w:rPr>
              <w:t>6</w:t>
            </w:r>
            <w:r w:rsidR="00193AB9">
              <w:rPr>
                <w:rFonts w:eastAsiaTheme="minorEastAsia" w:cs="Times New Roman"/>
                <w:noProof/>
              </w:rPr>
              <w:t xml:space="preserve">, </w:t>
            </w:r>
            <w:r w:rsidR="00A80ED1">
              <w:rPr>
                <w:rFonts w:eastAsiaTheme="minorEastAsia" w:cs="Times New Roman"/>
                <w:noProof/>
              </w:rPr>
              <w:t>8</w:t>
            </w:r>
            <w:r w:rsidRPr="00C931AA">
              <w:rPr>
                <w:rFonts w:eastAsiaTheme="minorEastAsia" w:cs="Times New Roman"/>
                <w:noProof/>
              </w:rPr>
              <w:t>00 km</w:t>
            </w:r>
            <w:r w:rsidRPr="00C931AA">
              <w:rPr>
                <w:rFonts w:eastAsiaTheme="minorEastAsia" w:cs="Times New Roman"/>
                <w:noProof/>
                <w:vertAlign w:val="superscript"/>
              </w:rPr>
              <w:t>2</w:t>
            </w:r>
          </w:p>
        </w:tc>
      </w:tr>
      <w:tr w:rsidR="00C931AA" w14:paraId="3F482129" w14:textId="77777777" w:rsidTr="00850036">
        <w:tc>
          <w:tcPr>
            <w:cnfStyle w:val="001000000000" w:firstRow="0" w:lastRow="0" w:firstColumn="1" w:lastColumn="0" w:oddVBand="0" w:evenVBand="0" w:oddHBand="0" w:evenHBand="0" w:firstRowFirstColumn="0" w:firstRowLastColumn="0" w:lastRowFirstColumn="0" w:lastRowLastColumn="0"/>
            <w:tcW w:w="5346" w:type="dxa"/>
          </w:tcPr>
          <w:p w14:paraId="7A863A67" w14:textId="77777777" w:rsidR="009A62D2" w:rsidRDefault="009A62D2" w:rsidP="00C931AA">
            <w:pPr>
              <w:spacing w:line="360" w:lineRule="auto"/>
              <w:ind w:firstLine="0"/>
              <w:jc w:val="center"/>
              <w:rPr>
                <w:rFonts w:eastAsiaTheme="minorEastAsia" w:cs="Times New Roman"/>
              </w:rPr>
            </w:pPr>
            <w:r>
              <w:rPr>
                <w:rFonts w:eastAsiaTheme="minorEastAsia" w:cs="Times New Roman"/>
                <w:noProof/>
              </w:rPr>
              <w:drawing>
                <wp:inline distT="0" distB="0" distL="0" distR="0" wp14:anchorId="3F9FAD09" wp14:editId="6BBE15D9">
                  <wp:extent cx="3256692" cy="40290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eamflow_avg_5452000.png"/>
                          <pic:cNvPicPr/>
                        </pic:nvPicPr>
                        <pic:blipFill rotWithShape="1">
                          <a:blip r:embed="rId8" cstate="print">
                            <a:extLst>
                              <a:ext uri="{28A0092B-C50C-407E-A947-70E740481C1C}">
                                <a14:useLocalDpi xmlns:a14="http://schemas.microsoft.com/office/drawing/2010/main" val="0"/>
                              </a:ext>
                            </a:extLst>
                          </a:blip>
                          <a:srcRect l="3309" t="2441" r="3212" b="2740"/>
                          <a:stretch/>
                        </pic:blipFill>
                        <pic:spPr bwMode="auto">
                          <a:xfrm>
                            <a:off x="0" y="0"/>
                            <a:ext cx="3293612" cy="4074751"/>
                          </a:xfrm>
                          <a:prstGeom prst="rect">
                            <a:avLst/>
                          </a:prstGeom>
                          <a:ln>
                            <a:noFill/>
                          </a:ln>
                          <a:extLst>
                            <a:ext uri="{53640926-AAD7-44D8-BBD7-CCE9431645EC}">
                              <a14:shadowObscured xmlns:a14="http://schemas.microsoft.com/office/drawing/2010/main"/>
                            </a:ext>
                          </a:extLst>
                        </pic:spPr>
                      </pic:pic>
                    </a:graphicData>
                  </a:graphic>
                </wp:inline>
              </w:drawing>
            </w:r>
          </w:p>
        </w:tc>
        <w:tc>
          <w:tcPr>
            <w:tcW w:w="5376" w:type="dxa"/>
          </w:tcPr>
          <w:p w14:paraId="0A7B8273" w14:textId="77777777" w:rsidR="009A62D2" w:rsidRDefault="00C931AA" w:rsidP="00C931AA">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heme="minorEastAsia" w:cs="Times New Roman"/>
              </w:rPr>
            </w:pPr>
            <w:r>
              <w:rPr>
                <w:rFonts w:eastAsiaTheme="minorEastAsia" w:cs="Times New Roman"/>
                <w:noProof/>
              </w:rPr>
              <w:drawing>
                <wp:inline distT="0" distB="0" distL="0" distR="0" wp14:anchorId="76590F07" wp14:editId="51A280A5">
                  <wp:extent cx="3275965" cy="4031146"/>
                  <wp:effectExtent l="0" t="0" r="63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eamflow_avg_5464500.png"/>
                          <pic:cNvPicPr/>
                        </pic:nvPicPr>
                        <pic:blipFill rotWithShape="1">
                          <a:blip r:embed="rId9" cstate="print">
                            <a:extLst>
                              <a:ext uri="{28A0092B-C50C-407E-A947-70E740481C1C}">
                                <a14:useLocalDpi xmlns:a14="http://schemas.microsoft.com/office/drawing/2010/main" val="0"/>
                              </a:ext>
                            </a:extLst>
                          </a:blip>
                          <a:srcRect l="4234" t="2034" r="2587" b="2467"/>
                          <a:stretch/>
                        </pic:blipFill>
                        <pic:spPr bwMode="auto">
                          <a:xfrm>
                            <a:off x="0" y="0"/>
                            <a:ext cx="3297584" cy="4057749"/>
                          </a:xfrm>
                          <a:prstGeom prst="rect">
                            <a:avLst/>
                          </a:prstGeom>
                          <a:ln>
                            <a:noFill/>
                          </a:ln>
                          <a:extLst>
                            <a:ext uri="{53640926-AAD7-44D8-BBD7-CCE9431645EC}">
                              <a14:shadowObscured xmlns:a14="http://schemas.microsoft.com/office/drawing/2010/main"/>
                            </a:ext>
                          </a:extLst>
                        </pic:spPr>
                      </pic:pic>
                    </a:graphicData>
                  </a:graphic>
                </wp:inline>
              </w:drawing>
            </w:r>
          </w:p>
        </w:tc>
      </w:tr>
    </w:tbl>
    <w:p w14:paraId="1B31FBF9" w14:textId="2971CDEB" w:rsidR="009A62D2" w:rsidRPr="00B735DB" w:rsidRDefault="00866E0C" w:rsidP="00850036">
      <w:pPr>
        <w:spacing w:line="360" w:lineRule="auto"/>
        <w:ind w:firstLine="0"/>
      </w:pPr>
      <w:r>
        <w:t xml:space="preserve">Figure A4: </w:t>
      </w:r>
      <w:r w:rsidR="00140673">
        <w:t>Demonstration of averaging and resampling of 15-minutes resolution streamflow data</w:t>
      </w:r>
      <w:r w:rsidR="00AC3D06">
        <w:t xml:space="preserve"> for two basin sizes. </w:t>
      </w:r>
      <w:r w:rsidR="00B675B3">
        <w:t xml:space="preserve"> </w:t>
      </w:r>
      <w:r w:rsidR="00AC3D06">
        <w:t>First column shows raw streamflow data (a) and normalized data (b) for basin size of 500 km</w:t>
      </w:r>
      <w:r w:rsidR="00AC3D06" w:rsidRPr="00AC3D06">
        <w:rPr>
          <w:vertAlign w:val="superscript"/>
        </w:rPr>
        <w:t>2</w:t>
      </w:r>
      <w:r w:rsidR="00AC3D06">
        <w:t>, while second column s</w:t>
      </w:r>
      <w:bookmarkStart w:id="0" w:name="_GoBack"/>
      <w:bookmarkEnd w:id="0"/>
      <w:r w:rsidR="00AC3D06">
        <w:t>hows raw streamflow data (a) and normalized data (b) for basin size of 1</w:t>
      </w:r>
      <w:r w:rsidR="00A80ED1">
        <w:t>6</w:t>
      </w:r>
      <w:r w:rsidR="002B2FFE">
        <w:t>,</w:t>
      </w:r>
      <w:r w:rsidR="00A80ED1">
        <w:t xml:space="preserve"> 8</w:t>
      </w:r>
      <w:r w:rsidR="00AC3D06">
        <w:t>00 km</w:t>
      </w:r>
      <w:r w:rsidR="00AC3D06" w:rsidRPr="00AC3D06">
        <w:rPr>
          <w:vertAlign w:val="superscript"/>
        </w:rPr>
        <w:t>2</w:t>
      </w:r>
      <w:r w:rsidR="00AC3D06">
        <w:t xml:space="preserve">. </w:t>
      </w:r>
      <w:r w:rsidR="00B675B3">
        <w:t xml:space="preserve"> Comparison between these two scales clearly demonstrates the prominent effect of averaging and normalization (standardization) on underlying dynamics. </w:t>
      </w:r>
    </w:p>
    <w:sectPr w:rsidR="009A62D2" w:rsidRPr="00B735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3675BB"/>
    <w:multiLevelType w:val="hybridMultilevel"/>
    <w:tmpl w:val="165297B2"/>
    <w:lvl w:ilvl="0" w:tplc="9BF8F84C">
      <w:start w:val="1"/>
      <w:numFmt w:val="decimal"/>
      <w:pStyle w:val="Heading2"/>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80B"/>
    <w:rsid w:val="00040E0C"/>
    <w:rsid w:val="00140673"/>
    <w:rsid w:val="00193AB9"/>
    <w:rsid w:val="002B2FFE"/>
    <w:rsid w:val="002B6041"/>
    <w:rsid w:val="00444BE2"/>
    <w:rsid w:val="004846E6"/>
    <w:rsid w:val="0050080B"/>
    <w:rsid w:val="0058296E"/>
    <w:rsid w:val="005A2962"/>
    <w:rsid w:val="00704F7F"/>
    <w:rsid w:val="0077692C"/>
    <w:rsid w:val="007A7062"/>
    <w:rsid w:val="007D0D47"/>
    <w:rsid w:val="00821294"/>
    <w:rsid w:val="00850036"/>
    <w:rsid w:val="00866E0C"/>
    <w:rsid w:val="00873137"/>
    <w:rsid w:val="009346FE"/>
    <w:rsid w:val="009901F5"/>
    <w:rsid w:val="009A62D2"/>
    <w:rsid w:val="00A80ED1"/>
    <w:rsid w:val="00A92D98"/>
    <w:rsid w:val="00AB3600"/>
    <w:rsid w:val="00AC3D06"/>
    <w:rsid w:val="00AF166E"/>
    <w:rsid w:val="00B07CB3"/>
    <w:rsid w:val="00B620D9"/>
    <w:rsid w:val="00B675B3"/>
    <w:rsid w:val="00B735DB"/>
    <w:rsid w:val="00C66848"/>
    <w:rsid w:val="00C931AA"/>
    <w:rsid w:val="00CD4F64"/>
    <w:rsid w:val="00D91DE1"/>
    <w:rsid w:val="00D94460"/>
    <w:rsid w:val="00DB58D3"/>
    <w:rsid w:val="00E10647"/>
    <w:rsid w:val="00F35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BB366"/>
  <w15:chartTrackingRefBased/>
  <w15:docId w15:val="{B69A3679-9677-4409-A26F-DEFF1C534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80B"/>
    <w:pPr>
      <w:spacing w:before="120" w:after="120" w:line="480" w:lineRule="auto"/>
      <w:ind w:firstLine="432"/>
    </w:pPr>
    <w:rPr>
      <w:rFonts w:ascii="Times New Roman" w:hAnsi="Times New Roman"/>
      <w:sz w:val="24"/>
    </w:rPr>
  </w:style>
  <w:style w:type="paragraph" w:styleId="Heading2">
    <w:name w:val="heading 2"/>
    <w:basedOn w:val="Normal"/>
    <w:next w:val="Normal"/>
    <w:link w:val="Heading2Char"/>
    <w:uiPriority w:val="9"/>
    <w:qFormat/>
    <w:rsid w:val="0050080B"/>
    <w:pPr>
      <w:keepNext/>
      <w:keepLines/>
      <w:numPr>
        <w:numId w:val="1"/>
      </w:numPr>
      <w:ind w:left="360"/>
      <w:outlineLvl w:val="1"/>
    </w:pPr>
    <w:rPr>
      <w:rFonts w:eastAsia="MS Gothic" w:cs="Times New Roman"/>
      <w:b/>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0080B"/>
    <w:rPr>
      <w:rFonts w:ascii="Times New Roman" w:eastAsia="MS Gothic" w:hAnsi="Times New Roman" w:cs="Times New Roman"/>
      <w:b/>
      <w:szCs w:val="26"/>
    </w:rPr>
  </w:style>
  <w:style w:type="table" w:styleId="TableGrid">
    <w:name w:val="Table Grid"/>
    <w:basedOn w:val="TableNormal"/>
    <w:uiPriority w:val="39"/>
    <w:rsid w:val="009A6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C931A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7D0D4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D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TotalTime>
  <Pages>4</Pages>
  <Words>281</Words>
  <Characters>1606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Iowa</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Ghimire, Ganesh R</dc:creator>
  <cp:keywords/>
  <dc:description/>
  <cp:lastModifiedBy>Ghimire, Ganesh R</cp:lastModifiedBy>
  <cp:revision>26</cp:revision>
  <dcterms:created xsi:type="dcterms:W3CDTF">2020-02-14T17:45:00Z</dcterms:created>
  <dcterms:modified xsi:type="dcterms:W3CDTF">2020-02-27T23:36:00Z</dcterms:modified>
</cp:coreProperties>
</file>